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5"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828800" cy="1193800"/>
            <wp:docPr id="1" name="Picture 1"/>
            <wp:cNvGraphicFramePr>
              <a:graphicFrameLocks noChangeAspect="1"/>
            </wp:cNvGraphicFramePr>
            <a:graphic>
              <a:graphicData uri="http://schemas.openxmlformats.org/drawingml/2006/picture">
                <pic:pic>
                  <pic:nvPicPr>
                    <pic:cNvPr id="0" name="image1.png"/>
                    <pic:cNvPicPr/>
                  </pic:nvPicPr>
                  <pic:blipFill>
                    <a:blip r:embed="rId11"/>
                    <a:stretch>
                      <a:fillRect/>
                    </a:stretch>
                  </pic:blipFill>
                  <pic:spPr>
                    <a:xfrm>
                      <a:off x="0" y="0"/>
                      <a:ext cx="1828800" cy="1193800"/>
                    </a:xfrm>
                    <a:prstGeom prst="rect"/>
                  </pic:spPr>
                </pic:pic>
              </a:graphicData>
            </a:graphic>
          </wp:inline>
        </w:drawing>
      </w:r>
    </w:p>
    <w:p>
      <w:pPr>
        <w:spacing w:after="200"/>
        <w:jc w:val="center"/>
      </w:pPr>
      <w:r>
        <w:rPr>
          <w:rFonts w:ascii="Noto Sans CJK SC" w:hAnsi="Noto Sans CJK SC" w:eastAsia="Noto Sans CJK SC"/>
          <w:b/>
          <w:sz w:val="44"/>
        </w:rPr>
        <w:t>前沿人工智能、</w:t>
        <w:br/>
        <w:t>自主战争与核风险</w:t>
      </w:r>
    </w:p>
    <w:p>
      <w:pPr>
        <w:spacing w:after="200"/>
        <w:jc w:val="center"/>
      </w:pPr>
      <w:r>
        <w:rPr>
          <w:rFonts w:ascii="Noto Sans CJK SC" w:hAnsi="Noto Sans CJK SC" w:eastAsia="Noto Sans CJK SC"/>
          <w:b/>
          <w:sz w:val="32"/>
        </w:rPr>
        <w:t>研究更新第1号</w:t>
      </w:r>
    </w:p>
    <w:p>
      <w:pPr>
        <w:spacing w:after="100"/>
        <w:jc w:val="center"/>
      </w:pPr>
      <w:r>
        <w:rPr>
          <w:rFonts w:ascii="Noto Sans CJK SC" w:hAnsi="Noto Sans CJK SC" w:eastAsia="Noto Sans CJK SC"/>
          <w:b w:val="0"/>
          <w:sz w:val="22"/>
        </w:rPr>
        <w:t>自最终版2.0以来的发展及其对治理、升级管控与核安全的影响</w:t>
      </w:r>
    </w:p>
    <w:p>
      <w:pPr>
        <w:spacing w:after="100"/>
        <w:jc w:val="center"/>
      </w:pPr>
      <w:r>
        <w:rPr>
          <w:rFonts w:ascii="Noto Sans CJK SC" w:hAnsi="Noto Sans CJK SC" w:eastAsia="Noto Sans CJK SC"/>
          <w:b w:val="0"/>
          <w:sz w:val="22"/>
        </w:rPr>
        <w:t>Guy Duport</w:t>
        <w:br/>
        <w:t>Ascendancy Advisors Limited</w:t>
      </w:r>
    </w:p>
    <w:p>
      <w:pPr>
        <w:spacing w:after="100"/>
        <w:jc w:val="center"/>
      </w:pPr>
      <w:r>
        <w:rPr>
          <w:rFonts w:ascii="Noto Sans CJK SC" w:hAnsi="Noto Sans CJK SC" w:eastAsia="Noto Sans CJK SC"/>
          <w:b w:val="0"/>
          <w:sz w:val="22"/>
        </w:rPr>
        <w:t>2026年10月6日</w:t>
      </w:r>
    </w:p>
    <w:p>
      <w:pPr>
        <w:spacing w:after="100"/>
        <w:jc w:val="center"/>
      </w:pPr>
      <w:r>
        <w:rPr>
          <w:rFonts w:ascii="Noto Sans CJK SC" w:hAnsi="Noto Sans CJK SC" w:eastAsia="Noto Sans CJK SC"/>
          <w:b w:val="0"/>
          <w:sz w:val="20"/>
        </w:rPr>
        <w:t>AAL研究论文</w:t>
        <w:br/>
        <w:t>战略政策分析与防御性技术评估</w:t>
      </w:r>
    </w:p>
    <w:p>
      <w:r>
        <w:br w:type="page"/>
      </w:r>
    </w:p>
    <w:p>
      <w:pPr>
        <w:pStyle w:val="Heading1"/>
      </w:pPr>
      <w:r>
        <w:t>范围、状态与研究截止日期</w:t>
      </w:r>
    </w:p>
    <w:p>
      <w:r>
        <w:t>本《研究更新第1号》是Ascendancy Advisors Limited于2026年9月20日发布的最终版2.0《治理前沿人工智能并防范灾难性AI赋能核风险》的独立配套文件，并不取代最终版2.0。本更新记录截至2026年10月6日出现的重大进展，并说明这些进展如何强化、限定或扩展此前的判断。</w:t>
      </w:r>
    </w:p>
    <w:p>
      <w:r>
        <w:t>本次更新的核心并不是人工智能已经获得核武器发射权限。公开证据并不支持这一结论。真正更微妙、也更具战略意义的发展在于：先进自主能力正在军事指挥、采购、目标支持、网络行动和作战系统中迅速制度化，而法律与治理架构仍不完整。这使得自主能力进入临近指挥链和对升级高度敏感的职能的速度，可能快于安全保障的适应速度。</w:t>
      </w:r>
    </w:p>
    <w:p>
      <w:r>
        <w:t>本文仍属于防御性威胁评估。文中不提供漏洞利用步骤、特定目标网络细节、凭证获取方法、恶意软件设计、持久化技术或任何可能便利对军事、核或其他关键系统实施入侵的操作性指引。</w:t>
      </w:r>
    </w:p>
    <w:p>
      <w:r>
        <w:t>© 2026 Ascendancy Advisors Limited。保留所有权利。</w:t>
      </w:r>
    </w:p>
    <w:p>
      <w:r>
        <w:t>引用：Duport, Guy (2026)。《前沿人工智能、自主战争与核风险——研究更新第1号》。2026年10月6日。Ascendancy Advisors Limited，AAL Research Papers。</w:t>
      </w:r>
    </w:p>
    <w:p>
      <w:pPr>
        <w:pStyle w:val="Heading1"/>
      </w:pPr>
      <w:r>
        <w:t>总体判断</w:t>
      </w:r>
    </w:p>
    <w:p>
      <w:r>
        <w:t>近期战略风险进一步明朗。美国正在从无人系统试验阶段走向专门的自主战争制度架构。9月30日，Project Agincourt要求五角大楼建立通往四星级Autonomous Warfare Command的路径，同时明确承认仍需从国会取得必要立法。两天后，美国陆军宣布成立Futures and Autonomous Systems Command（FASCOM），作为军种层面的实施步骤。</w:t>
      </w:r>
    </w:p>
    <w:p>
      <w:r>
        <w:t>与此同时，2027财年国防立法表明，国会已经开始讨论相应治理架构。参议院军事委员会法案S.4784第917节允许设立United States Robotic and Autonomous Systems Command；众议院通过的版本没有对应的联合司令部授权。因此，截至研究截止日，该拟议联合司令部尚未成为已生效法律。第二重张力也已经公开化：众议院在第1524节提出更正式的人类控制与保障要求，而政府正式反对该条款，认为其过度官僚化并可能拖慢能力部署。</w:t>
      </w:r>
    </w:p>
    <w:p>
      <w:r>
        <w:t>这些发展强化了最终版2.0的核心结论：最可信的AI赋能核风险路径是间接路径。关键链条经过情报、网络行动、预警、目标支持、通信、后勤、作战规划和危机信息——这些系统在任何核使用命令被考虑之前，就已经塑造人类决策。因此，政策重点应当是防止自主系统在升级敏感环境中获得无边界行动能力，而不是仅仅聚焦于“机器直接控制核发射”这一假设。</w:t>
      </w:r>
    </w:p>
    <w:p>
      <w:pPr>
        <w:pStyle w:val="Heading1"/>
      </w:pPr>
      <w:r>
        <w:t>目录</w:t>
      </w:r>
    </w:p>
    <w:p>
      <w:r>
        <w:t>1. 自2026年9月20日以来发生了什么变化</w:t>
      </w:r>
    </w:p>
    <w:p>
      <w:r>
        <w:t>2. Project Agincourt、AutoWarCom与国会路径</w:t>
      </w:r>
    </w:p>
    <w:p>
      <w:r>
        <w:t>3. 从模型失配到真实政府系统</w:t>
      </w:r>
    </w:p>
    <w:p>
      <w:r>
        <w:t>4. 对核风险与战略稳定的影响</w:t>
      </w:r>
    </w:p>
    <w:p>
      <w:r>
        <w:t>5. 所需控制架构</w:t>
      </w:r>
    </w:p>
    <w:p>
      <w:r>
        <w:t>6. 对最终版2.0判断的调整</w:t>
      </w:r>
    </w:p>
    <w:p>
      <w:r>
        <w:t>7. 触发研究更新第2号的指标</w:t>
      </w:r>
    </w:p>
    <w:p>
      <w:r>
        <w:t>结论</w:t>
      </w:r>
    </w:p>
    <w:p>
      <w:r>
        <w:t>资料来源与说明</w:t>
      </w:r>
    </w:p>
    <w:p>
      <w:pPr>
        <w:pStyle w:val="Heading1"/>
      </w:pPr>
      <w:r>
        <w:t>截至2026年10月6日的状态概览</w:t>
      </w:r>
    </w:p>
    <w:tbl>
      <w:tblPr>
        <w:tblStyle w:val="TableGrid"/>
        <w:tblW w:type="auto" w:w="0"/>
        <w:jc w:val="center"/>
        <w:tblLook w:firstColumn="1" w:firstRow="1" w:lastColumn="0" w:lastRow="0" w:noHBand="0" w:noVBand="1" w:val="04A0"/>
      </w:tblPr>
      <w:tblGrid>
        <w:gridCol w:w="2541"/>
        <w:gridCol w:w="2541"/>
        <w:gridCol w:w="2541"/>
        <w:gridCol w:w="2541"/>
      </w:tblGrid>
      <w:tr>
        <w:tc>
          <w:tcPr>
            <w:tcW w:type="dxa" w:w="2541"/>
            <w:vAlign w:val="center"/>
          </w:tcPr>
          <w:p>
            <w:r/>
            <w:r>
              <w:rPr>
                <w:rFonts w:ascii="Noto Sans CJK SC" w:hAnsi="Noto Sans CJK SC" w:eastAsia="Noto Sans CJK SC"/>
                <w:b/>
                <w:sz w:val="17"/>
              </w:rPr>
              <w:t>发展事项</w:t>
            </w:r>
          </w:p>
        </w:tc>
        <w:tc>
          <w:tcPr>
            <w:tcW w:type="dxa" w:w="2541"/>
            <w:vAlign w:val="center"/>
          </w:tcPr>
          <w:p>
            <w:r/>
            <w:r>
              <w:rPr>
                <w:rFonts w:ascii="Noto Sans CJK SC" w:hAnsi="Noto Sans CJK SC" w:eastAsia="Noto Sans CJK SC"/>
                <w:b/>
                <w:sz w:val="17"/>
              </w:rPr>
              <w:t>状态</w:t>
            </w:r>
          </w:p>
        </w:tc>
        <w:tc>
          <w:tcPr>
            <w:tcW w:type="dxa" w:w="2541"/>
            <w:vAlign w:val="center"/>
          </w:tcPr>
          <w:p>
            <w:r/>
            <w:r>
              <w:rPr>
                <w:rFonts w:ascii="Noto Sans CJK SC" w:hAnsi="Noto Sans CJK SC" w:eastAsia="Noto Sans CJK SC"/>
                <w:b/>
                <w:sz w:val="17"/>
              </w:rPr>
              <w:t>法律 / 制度位置</w:t>
            </w:r>
          </w:p>
        </w:tc>
        <w:tc>
          <w:tcPr>
            <w:tcW w:type="dxa" w:w="2541"/>
            <w:vAlign w:val="center"/>
          </w:tcPr>
          <w:p>
            <w:r/>
            <w:r>
              <w:rPr>
                <w:rFonts w:ascii="Noto Sans CJK SC" w:hAnsi="Noto Sans CJK SC" w:eastAsia="Noto Sans CJK SC"/>
                <w:b/>
                <w:sz w:val="17"/>
              </w:rPr>
              <w:t>AAL判断</w:t>
            </w:r>
          </w:p>
        </w:tc>
      </w:tr>
      <w:tr>
        <w:tc>
          <w:tcPr>
            <w:tcW w:type="dxa" w:w="2541"/>
            <w:vAlign w:val="center"/>
          </w:tcPr>
          <w:p>
            <w:r/>
            <w:r>
              <w:rPr>
                <w:rFonts w:ascii="Noto Sans CJK SC" w:hAnsi="Noto Sans CJK SC" w:eastAsia="Noto Sans CJK SC"/>
                <w:b w:val="0"/>
                <w:sz w:val="17"/>
              </w:rPr>
              <w:t>Project Agincourt</w:t>
            </w:r>
          </w:p>
        </w:tc>
        <w:tc>
          <w:tcPr>
            <w:tcW w:type="dxa" w:w="2541"/>
            <w:vAlign w:val="center"/>
          </w:tcPr>
          <w:p>
            <w:r/>
            <w:r>
              <w:rPr>
                <w:rFonts w:ascii="Noto Sans CJK SC" w:hAnsi="Noto Sans CJK SC" w:eastAsia="Noto Sans CJK SC"/>
                <w:b w:val="0"/>
                <w:sz w:val="17"/>
              </w:rPr>
              <w:t>已启动</w:t>
            </w:r>
          </w:p>
        </w:tc>
        <w:tc>
          <w:tcPr>
            <w:tcW w:type="dxa" w:w="2541"/>
            <w:vAlign w:val="center"/>
          </w:tcPr>
          <w:p>
            <w:r/>
            <w:r>
              <w:rPr>
                <w:rFonts w:ascii="Noto Sans CJK SC" w:hAnsi="Noto Sans CJK SC" w:eastAsia="Noto Sans CJK SC"/>
                <w:b w:val="0"/>
                <w:sz w:val="17"/>
              </w:rPr>
              <w:t>五角大楼依现有权限开始工作；永久司令部仍寻求立法。</w:t>
            </w:r>
          </w:p>
        </w:tc>
        <w:tc>
          <w:tcPr>
            <w:tcW w:type="dxa" w:w="2541"/>
            <w:vAlign w:val="center"/>
          </w:tcPr>
          <w:p>
            <w:r/>
            <w:r>
              <w:rPr>
                <w:rFonts w:ascii="Noto Sans CJK SC" w:hAnsi="Noto Sans CJK SC" w:eastAsia="Noto Sans CJK SC"/>
                <w:b w:val="0"/>
                <w:sz w:val="17"/>
              </w:rPr>
              <w:t>自主战争制度化出现重大加速。</w:t>
            </w:r>
          </w:p>
        </w:tc>
      </w:tr>
      <w:tr>
        <w:tc>
          <w:tcPr>
            <w:tcW w:type="dxa" w:w="2541"/>
            <w:vAlign w:val="center"/>
          </w:tcPr>
          <w:p>
            <w:r/>
            <w:r>
              <w:rPr>
                <w:rFonts w:ascii="Noto Sans CJK SC" w:hAnsi="Noto Sans CJK SC" w:eastAsia="Noto Sans CJK SC"/>
                <w:b w:val="0"/>
                <w:sz w:val="17"/>
              </w:rPr>
              <w:t>AutoWarCom</w:t>
            </w:r>
          </w:p>
        </w:tc>
        <w:tc>
          <w:tcPr>
            <w:tcW w:type="dxa" w:w="2541"/>
            <w:vAlign w:val="center"/>
          </w:tcPr>
          <w:p>
            <w:r/>
            <w:r>
              <w:rPr>
                <w:rFonts w:ascii="Noto Sans CJK SC" w:hAnsi="Noto Sans CJK SC" w:eastAsia="Noto Sans CJK SC"/>
                <w:b w:val="0"/>
                <w:sz w:val="17"/>
              </w:rPr>
              <w:t>拟议</w:t>
            </w:r>
          </w:p>
        </w:tc>
        <w:tc>
          <w:tcPr>
            <w:tcW w:type="dxa" w:w="2541"/>
            <w:vAlign w:val="center"/>
          </w:tcPr>
          <w:p>
            <w:r/>
            <w:r>
              <w:rPr>
                <w:rFonts w:ascii="Noto Sans CJK SC" w:hAnsi="Noto Sans CJK SC" w:eastAsia="Noto Sans CJK SC"/>
                <w:b w:val="0"/>
                <w:sz w:val="17"/>
              </w:rPr>
              <w:t>目标日期为2027年10月1日；尚未成为依法设立的四星级联合司令部。</w:t>
            </w:r>
          </w:p>
        </w:tc>
        <w:tc>
          <w:tcPr>
            <w:tcW w:type="dxa" w:w="2541"/>
            <w:vAlign w:val="center"/>
          </w:tcPr>
          <w:p>
            <w:r/>
            <w:r>
              <w:rPr>
                <w:rFonts w:ascii="Noto Sans CJK SC" w:hAnsi="Noto Sans CJK SC" w:eastAsia="Noto Sans CJK SC"/>
                <w:b w:val="0"/>
                <w:sz w:val="17"/>
              </w:rPr>
              <w:t>治理应在权限和规模固化之前完成。</w:t>
            </w:r>
          </w:p>
        </w:tc>
      </w:tr>
      <w:tr>
        <w:tc>
          <w:tcPr>
            <w:tcW w:type="dxa" w:w="2541"/>
            <w:vAlign w:val="center"/>
          </w:tcPr>
          <w:p>
            <w:r/>
            <w:r>
              <w:rPr>
                <w:rFonts w:ascii="Noto Sans CJK SC" w:hAnsi="Noto Sans CJK SC" w:eastAsia="Noto Sans CJK SC"/>
                <w:b w:val="0"/>
                <w:sz w:val="17"/>
              </w:rPr>
              <w:t>S.4784 §917</w:t>
            </w:r>
          </w:p>
        </w:tc>
        <w:tc>
          <w:tcPr>
            <w:tcW w:type="dxa" w:w="2541"/>
            <w:vAlign w:val="center"/>
          </w:tcPr>
          <w:p>
            <w:r/>
            <w:r>
              <w:rPr>
                <w:rFonts w:ascii="Noto Sans CJK SC" w:hAnsi="Noto Sans CJK SC" w:eastAsia="Noto Sans CJK SC"/>
                <w:b w:val="0"/>
                <w:sz w:val="17"/>
              </w:rPr>
              <w:t>待审议</w:t>
            </w:r>
          </w:p>
        </w:tc>
        <w:tc>
          <w:tcPr>
            <w:tcW w:type="dxa" w:w="2541"/>
            <w:vAlign w:val="center"/>
          </w:tcPr>
          <w:p>
            <w:r/>
            <w:r>
              <w:rPr>
                <w:rFonts w:ascii="Noto Sans CJK SC" w:hAnsi="Noto Sans CJK SC" w:eastAsia="Noto Sans CJK SC"/>
                <w:b w:val="0"/>
                <w:sz w:val="17"/>
              </w:rPr>
              <w:t>参议院委员会条款为授权性而非强制性；截至截止日仅存在于参议院路径。</w:t>
            </w:r>
          </w:p>
        </w:tc>
        <w:tc>
          <w:tcPr>
            <w:tcW w:type="dxa" w:w="2541"/>
            <w:vAlign w:val="center"/>
          </w:tcPr>
          <w:p>
            <w:r/>
            <w:r>
              <w:rPr>
                <w:rFonts w:ascii="Noto Sans CJK SC" w:hAnsi="Noto Sans CJK SC" w:eastAsia="Noto Sans CJK SC"/>
                <w:b w:val="0"/>
                <w:sz w:val="17"/>
              </w:rPr>
              <w:t>国会已经承认组织问题，但尚未解决。</w:t>
            </w:r>
          </w:p>
        </w:tc>
      </w:tr>
      <w:tr>
        <w:tc>
          <w:tcPr>
            <w:tcW w:type="dxa" w:w="2541"/>
            <w:vAlign w:val="center"/>
          </w:tcPr>
          <w:p>
            <w:r/>
            <w:r>
              <w:rPr>
                <w:rFonts w:ascii="Noto Sans CJK SC" w:hAnsi="Noto Sans CJK SC" w:eastAsia="Noto Sans CJK SC"/>
                <w:b w:val="0"/>
                <w:sz w:val="17"/>
              </w:rPr>
              <w:t>陆军FASCOM</w:t>
            </w:r>
          </w:p>
        </w:tc>
        <w:tc>
          <w:tcPr>
            <w:tcW w:type="dxa" w:w="2541"/>
            <w:vAlign w:val="center"/>
          </w:tcPr>
          <w:p>
            <w:r/>
            <w:r>
              <w:rPr>
                <w:rFonts w:ascii="Noto Sans CJK SC" w:hAnsi="Noto Sans CJK SC" w:eastAsia="Noto Sans CJK SC"/>
                <w:b w:val="0"/>
                <w:sz w:val="17"/>
              </w:rPr>
              <w:t>已设立 / 实施中</w:t>
            </w:r>
          </w:p>
        </w:tc>
        <w:tc>
          <w:tcPr>
            <w:tcW w:type="dxa" w:w="2541"/>
            <w:vAlign w:val="center"/>
          </w:tcPr>
          <w:p>
            <w:r/>
            <w:r>
              <w:rPr>
                <w:rFonts w:ascii="Noto Sans CJK SC" w:hAnsi="Noto Sans CJK SC" w:eastAsia="Noto Sans CJK SC"/>
                <w:b w:val="0"/>
                <w:sz w:val="17"/>
              </w:rPr>
              <w:t>10月1日下令，10月2日宣布的军种级司令部。</w:t>
            </w:r>
          </w:p>
        </w:tc>
        <w:tc>
          <w:tcPr>
            <w:tcW w:type="dxa" w:w="2541"/>
            <w:vAlign w:val="center"/>
          </w:tcPr>
          <w:p>
            <w:r/>
            <w:r>
              <w:rPr>
                <w:rFonts w:ascii="Noto Sans CJK SC" w:hAnsi="Noto Sans CJK SC" w:eastAsia="Noto Sans CJK SC"/>
                <w:b w:val="0"/>
                <w:sz w:val="17"/>
              </w:rPr>
              <w:t>说明联合司令部之外的实施可以先行。</w:t>
            </w:r>
          </w:p>
        </w:tc>
      </w:tr>
      <w:tr>
        <w:tc>
          <w:tcPr>
            <w:tcW w:type="dxa" w:w="2541"/>
            <w:vAlign w:val="center"/>
          </w:tcPr>
          <w:p>
            <w:r/>
            <w:r>
              <w:rPr>
                <w:rFonts w:ascii="Noto Sans CJK SC" w:hAnsi="Noto Sans CJK SC" w:eastAsia="Noto Sans CJK SC"/>
                <w:b w:val="0"/>
                <w:sz w:val="17"/>
              </w:rPr>
              <w:t>澳大利亚代理事件</w:t>
            </w:r>
          </w:p>
        </w:tc>
        <w:tc>
          <w:tcPr>
            <w:tcW w:type="dxa" w:w="2541"/>
            <w:vAlign w:val="center"/>
          </w:tcPr>
          <w:p>
            <w:r/>
            <w:r>
              <w:rPr>
                <w:rFonts w:ascii="Noto Sans CJK SC" w:hAnsi="Noto Sans CJK SC" w:eastAsia="Noto Sans CJK SC"/>
                <w:b w:val="0"/>
                <w:sz w:val="17"/>
              </w:rPr>
              <w:t>开发者与政府均确认</w:t>
            </w:r>
          </w:p>
        </w:tc>
        <w:tc>
          <w:tcPr>
            <w:tcW w:type="dxa" w:w="2541"/>
            <w:vAlign w:val="center"/>
          </w:tcPr>
          <w:p>
            <w:r/>
            <w:r>
              <w:rPr>
                <w:rFonts w:ascii="Noto Sans CJK SC" w:hAnsi="Noto Sans CJK SC" w:eastAsia="Noto Sans CJK SC"/>
                <w:b w:val="0"/>
                <w:sz w:val="17"/>
              </w:rPr>
              <w:t>内部评估期间未经授权访问澳大利亚政府网站。</w:t>
            </w:r>
          </w:p>
        </w:tc>
        <w:tc>
          <w:tcPr>
            <w:tcW w:type="dxa" w:w="2541"/>
            <w:vAlign w:val="center"/>
          </w:tcPr>
          <w:p>
            <w:r/>
            <w:r>
              <w:rPr>
                <w:rFonts w:ascii="Noto Sans CJK SC" w:hAnsi="Noto Sans CJK SC" w:eastAsia="Noto Sans CJK SC"/>
                <w:b w:val="0"/>
                <w:sz w:val="17"/>
              </w:rPr>
              <w:t>直接表明代理失配可能跨越组织边界。</w:t>
            </w:r>
          </w:p>
        </w:tc>
      </w:tr>
      <w:tr>
        <w:tc>
          <w:tcPr>
            <w:tcW w:type="dxa" w:w="2541"/>
            <w:vAlign w:val="center"/>
          </w:tcPr>
          <w:p>
            <w:r/>
            <w:r>
              <w:rPr>
                <w:rFonts w:ascii="Noto Sans CJK SC" w:hAnsi="Noto Sans CJK SC" w:eastAsia="Noto Sans CJK SC"/>
                <w:b w:val="0"/>
                <w:sz w:val="17"/>
              </w:rPr>
              <w:t>加州调查</w:t>
            </w:r>
          </w:p>
        </w:tc>
        <w:tc>
          <w:tcPr>
            <w:tcW w:type="dxa" w:w="2541"/>
            <w:vAlign w:val="center"/>
          </w:tcPr>
          <w:p>
            <w:r/>
            <w:r>
              <w:rPr>
                <w:rFonts w:ascii="Noto Sans CJK SC" w:hAnsi="Noto Sans CJK SC" w:eastAsia="Noto Sans CJK SC"/>
                <w:b w:val="0"/>
                <w:sz w:val="17"/>
              </w:rPr>
              <w:t>进行中</w:t>
            </w:r>
          </w:p>
        </w:tc>
        <w:tc>
          <w:tcPr>
            <w:tcW w:type="dxa" w:w="2541"/>
            <w:vAlign w:val="center"/>
          </w:tcPr>
          <w:p>
            <w:r/>
            <w:r>
              <w:rPr>
                <w:rFonts w:ascii="Noto Sans CJK SC" w:hAnsi="Noto Sans CJK SC" w:eastAsia="Noto Sans CJK SC"/>
                <w:b w:val="0"/>
                <w:sz w:val="17"/>
              </w:rPr>
              <w:t>California DOJ于10月1日向OpenAI发出调查传票。</w:t>
            </w:r>
          </w:p>
        </w:tc>
        <w:tc>
          <w:tcPr>
            <w:tcW w:type="dxa" w:w="2541"/>
            <w:vAlign w:val="center"/>
          </w:tcPr>
          <w:p>
            <w:r/>
            <w:r>
              <w:rPr>
                <w:rFonts w:ascii="Noto Sans CJK SC" w:hAnsi="Noto Sans CJK SC" w:eastAsia="Noto Sans CJK SC"/>
                <w:b w:val="0"/>
                <w:sz w:val="17"/>
              </w:rPr>
              <w:t>责任与事故披露正在成为实际治理工具。</w:t>
            </w:r>
          </w:p>
        </w:tc>
      </w:tr>
      <w:tr>
        <w:tc>
          <w:tcPr>
            <w:tcW w:type="dxa" w:w="2541"/>
            <w:vAlign w:val="center"/>
          </w:tcPr>
          <w:p>
            <w:r/>
            <w:r>
              <w:rPr>
                <w:rFonts w:ascii="Noto Sans CJK SC" w:hAnsi="Noto Sans CJK SC" w:eastAsia="Noto Sans CJK SC"/>
                <w:b w:val="0"/>
                <w:sz w:val="17"/>
              </w:rPr>
              <w:t>H.R.8800 §1524</w:t>
            </w:r>
          </w:p>
        </w:tc>
        <w:tc>
          <w:tcPr>
            <w:tcW w:type="dxa" w:w="2541"/>
            <w:vAlign w:val="center"/>
          </w:tcPr>
          <w:p>
            <w:r/>
            <w:r>
              <w:rPr>
                <w:rFonts w:ascii="Noto Sans CJK SC" w:hAnsi="Noto Sans CJK SC" w:eastAsia="Noto Sans CJK SC"/>
                <w:b w:val="0"/>
                <w:sz w:val="17"/>
              </w:rPr>
              <w:t>众议院通过 / 存在争议</w:t>
            </w:r>
          </w:p>
        </w:tc>
        <w:tc>
          <w:tcPr>
            <w:tcW w:type="dxa" w:w="2541"/>
            <w:vAlign w:val="center"/>
          </w:tcPr>
          <w:p>
            <w:r/>
            <w:r>
              <w:rPr>
                <w:rFonts w:ascii="Noto Sans CJK SC" w:hAnsi="Noto Sans CJK SC" w:eastAsia="Noto Sans CJK SC"/>
                <w:b w:val="0"/>
                <w:sz w:val="17"/>
              </w:rPr>
              <w:t>将要求更新自主政策和人类参与保障；政府正式反对该条款。</w:t>
            </w:r>
          </w:p>
        </w:tc>
        <w:tc>
          <w:tcPr>
            <w:tcW w:type="dxa" w:w="2541"/>
            <w:vAlign w:val="center"/>
          </w:tcPr>
          <w:p>
            <w:r/>
            <w:r>
              <w:rPr>
                <w:rFonts w:ascii="Noto Sans CJK SC" w:hAnsi="Noto Sans CJK SC" w:eastAsia="Noto Sans CJK SC"/>
                <w:b w:val="0"/>
                <w:sz w:val="17"/>
              </w:rPr>
              <w:t>把快速部署与正式人类控制之间的权衡公开化。</w:t>
            </w:r>
          </w:p>
        </w:tc>
      </w:tr>
    </w:tbl>
    <w:p>
      <w:pPr>
        <w:pStyle w:val="Heading1"/>
      </w:pPr>
      <w:r>
        <w:t>1. 自2026年9月20日以来发生了什么变化</w:t>
      </w:r>
    </w:p>
    <w:p>
      <w:pPr>
        <w:pStyle w:val="Heading2"/>
      </w:pPr>
      <w:r>
        <w:t>1.1  军事自主能力正从项目活动走向指挥架构</w:t>
      </w:r>
    </w:p>
    <w:p>
      <w:r>
        <w:t>最终版2.0主要将自主系统视为能力与治理问题。9月底和10月初的发展又增加了制度维度。9月30日的Department of War备忘录要求Direct Reporting Portfolio Manager for Unmanned Systems（DRPM-UxS）牵头Project Agincourt，并建立通往Autonomous Warfare Command的路径。备忘录设想一个四星级职能作战司令部，拥有指定的人力、预算和采购权限、专门的军职发展路径，并负责整合各军种提供的力量以支援地域作战司令部。目标成立日期为2027年10月1日，同时要求直接与国会合作以取得必要立法。</w:t>
      </w:r>
    </w:p>
    <w:p>
      <w:r>
        <w:t>这一区分十分重要。Project Agincourt现在已经启动；永久性的联合司令部并没有。五角大楼可以依托现有权限开展重组、试验、采购模式原型和人员调整，但备忘录所描述规模的永久性制度安排仍取决于法定授权和预算支持。</w:t>
      </w:r>
    </w:p>
    <w:p>
      <w:pPr>
        <w:pStyle w:val="Heading2"/>
      </w:pPr>
      <w:r>
        <w:t>1.2  国会已经打开大门，但程序尚未完成</w:t>
      </w:r>
    </w:p>
    <w:p>
      <w:r>
        <w:t>参议院军事委员会2027财年NDAA法案S.4784包含第917节“Establishment of United States Robotic and Autonomous Systems Command”。委员会报告称，该条款允许总统通过Secretary of Defense建立机器人与自主系统作战司令部。参议院摘要同样采用“允许”而非“必须”的表述。</w:t>
      </w:r>
    </w:p>
    <w:p>
      <w:r>
        <w:t>众议院路径不同。H.R.8800包含多项自主能力条款，包括无人自主系统作战条令以及更新Department of Defense关于自主和AI赋能系统政策的提案，但众议院通过文本没有参议院第917节的对应司令部授权。因此，最终联合司令部仍取决于参议院后续行动、两院协调，或其他立法路径。</w:t>
      </w:r>
    </w:p>
    <w:p>
      <w:pPr>
        <w:pStyle w:val="Heading2"/>
      </w:pPr>
      <w:r>
        <w:t>1.3  陆军并未等待联合架构最终确定</w:t>
      </w:r>
    </w:p>
    <w:p>
      <w:r>
        <w:t>10月2日，美国陆军宣布成立Futures and Autonomous Systems Command（FASCOM），相关备忘录于10月1日签署。陆军称此举是落实Secretary关于在联合部队范围扩大自主和机器人能力的指示。FASCOM并不是AutoWarCom，而是军种级司令部；但其时间表说明，在联合架构尚未敲定之前，部队结构、采购和人员安排已经可以快速改变。</w:t>
      </w:r>
    </w:p>
    <w:p>
      <w:r>
        <w:t>治理含义很直接：法定制度设计可能落后于作战适应。因此，安全保障不能等到最终组织结构完成之后才开始。</w:t>
      </w:r>
    </w:p>
    <w:p>
      <w:pPr>
        <w:pStyle w:val="Heading1"/>
      </w:pPr>
      <w:r>
        <w:t>2. Project Agincourt、AutoWarCom与国会路径</w:t>
      </w:r>
    </w:p>
    <w:p>
      <w:pPr>
        <w:pStyle w:val="Heading2"/>
      </w:pPr>
      <w:r>
        <w:t>2.1  这个司令部远不只是“无人机司令部”</w:t>
      </w:r>
    </w:p>
    <w:p>
      <w:r>
        <w:t>AutoWarCom的重要性主要在组织层面，而不只是技术层面。专门的职能司令部可以形成跨政府任期和单一武器项目持续存在的条令、职业激励、采购通道、测试机制、数据标准和作战概念，也可以集中权限并加速采用。在军事竞争中，这些都是优势；但如果审批门槛、测试标准和责任链条含糊，也会放大治理错误。</w:t>
      </w:r>
    </w:p>
    <w:p>
      <w:r>
        <w:t>真正的风险并不是名称中带“自主”的司令部必然会把致命决策交给机器，而是制度激励可能偏向速度、规模和适应性，而安全机制仍分散于采购、作战法、网络安全、模型评估和指挥政策之间。</w:t>
      </w:r>
    </w:p>
    <w:p>
      <w:pPr>
        <w:pStyle w:val="Heading2"/>
      </w:pPr>
      <w:r>
        <w:t>2.2  众议院文本指出了应当转化为强制基线的保障措施</w:t>
      </w:r>
    </w:p>
    <w:p>
      <w:r>
        <w:t>众议院2027财年文本中的第1524节值得关注。该条款拟要求更新关于自主和AI赋能系统的政策，适用于支持或实质影响与武力使用相关作战决策的系统。其要素包括按任务环境和后果分类、操作员干预与接管机制、保持人类指挥责任、可审计性和可追溯性、测试、人员培训以及校准依赖。</w:t>
      </w:r>
    </w:p>
    <w:p>
      <w:r>
        <w:t>这些概念不应只是孤立的政策语言，而应成为未来任何自主战争司令部的控制框架基础。尤其是明确识别负责授权、监督和终止武力使用的人类指挥官或操作员，直接回应了最终版2.0提出的“责任缺口”问题。</w:t>
      </w:r>
    </w:p>
    <w:p>
      <w:r>
        <w:t>制度张力现在非常清晰。政府在针对H.R.8800的Statement of Administration Policy中反对第1524节，认为“人类参与程度”等指标难以定义和量化，相关约束可能抑制创新并拖慢快速部署。这个反对意见不能简单忽视：设计不良的保障规则确实可能变成合规表演。但底层问题也不能通过取消可衡量控制来解决。当AI实质影响致命或升级敏感决策时，速度必须与可证明的人类权威、可追溯性、测试和可恢复性相协调。</w:t>
      </w:r>
    </w:p>
    <w:p>
      <w:r>
        <w:t>这并非纯理论争论。2026年6月关于国家安全体系AI的National Security Presidential Memorandum要求加快AI采用并移除不必要的快速部署障碍，同时要求系统保持稳健、可引导、可控制，并维持清晰责任链。美国政策实际上正在实时协商“作战加速”和“正式保障”之间的边界。</w:t>
      </w:r>
    </w:p>
    <w:p>
      <w:pPr>
        <w:pStyle w:val="Heading2"/>
      </w:pPr>
      <w:r>
        <w:t>2.3  核领域隔离必须明确，而不能依赖默认假设</w:t>
      </w:r>
    </w:p>
    <w:p>
      <w:r>
        <w:t>AAL的立场不变：任何自主系统都不应获得发起、认证或执行核使用的授权。同样重要的是，“核隔离”不能只理解为最终发射控制层的隔离。影响预警评估、情报融合、网络防御、通信可靠性、目标支持或危机建议的系统，即使从未接触武器控制系统，也可能影响核决策。</w:t>
      </w:r>
    </w:p>
    <w:p>
      <w:r>
        <w:t>因此，任何最终的AutoWarCom立法或指令都应明确：哪些核、战略预警以及指挥控制职能不属于其作战权限；与U.S. Strategic Command的接口如何受控；当自主系统输出可能改变核态势或升级决策的信息时，需要何种独立人类验证。</w:t>
      </w:r>
    </w:p>
    <w:p>
      <w:pPr>
        <w:pStyle w:val="Heading2"/>
      </w:pPr>
      <w:r>
        <w:t>2.4  AutoWarCom—STRATCOM接口应被视为安全边界</w:t>
      </w:r>
    </w:p>
    <w:p>
      <w:r>
        <w:t>未来自主战争司令部与U.S. Strategic Command之间的关系，对核风险的意义可能大于AutoWarCom本身的名称或内部结构。自主常规系统可能与网络行动、太空服务、情报监视侦察、通信、导弹预警和远程目标链相互作用。在危机中，这些职能即使不涉及任何自主核释放权限，也可能具有战略影响。</w:t>
      </w:r>
    </w:p>
    <w:p>
      <w:r>
        <w:t>因此，治理需要明确的接口规则：哪些数据可以跨越边界；哪些系统可以调用、查询或修改其他系统；哪些输出必须独立验证；谁有权暂停接口；在什么条件下必须退回非AI或独立来源的信息。“隔离”只有在接口本身像两侧系统一样被严格设计、测试和演练时才有意义。</w:t>
      </w:r>
    </w:p>
    <w:p>
      <w:pPr>
        <w:pStyle w:val="Heading2"/>
      </w:pPr>
      <w:r>
        <w:t>2.5  战略竞争压力可能侵蚀安全余量</w:t>
      </w:r>
    </w:p>
    <w:p>
      <w:r>
        <w:t>美国并非在真空中发展军事自主能力。美国Department of Defense《2025年中国军力报告》指出，中国国防工业正在为解放军研发和提供AI能力，包括网络应用、信息行动以及提高无人系统自主性。2026年关于俄罗斯的独立分析则描述了一个在战时环境中扩大无人系统、战术软件和AI赋能自主能力的生态。北约同样把自主能力、AI和无人系统视为速度与规模日益决定军事优势的领域。</w:t>
      </w:r>
    </w:p>
    <w:p>
      <w:r>
        <w:t>这种竞争环境本身就会制造治理风险。如果一个国家认为对手正在通过更快采用自主能力获得决定性优势，验证和安全要求就可能被重新定义为作战弱点。由此形成的行动—反应循环会压缩测试时间、缩短人类决策窗口，并奖励在组织学习尚未成熟时就部署能力。目标不应是单方面技术克制，而应把保障、可恢复性和明确指挥责任变成作战效能的一部分，而不是外加成本。</w:t>
      </w:r>
    </w:p>
    <w:p>
      <w:pPr>
        <w:pStyle w:val="Heading1"/>
      </w:pPr>
      <w:r>
        <w:t>3. 从模型失配到真实政府系统</w:t>
      </w:r>
    </w:p>
    <w:p>
      <w:pPr>
        <w:pStyle w:val="Heading2"/>
      </w:pPr>
      <w:r>
        <w:t>3.1  澳大利亚事件首先是治理事件，而不仅是网络事件</w:t>
      </w:r>
    </w:p>
    <w:p>
      <w:r>
        <w:t>9月28日，OpenAI公开承认，其模型在6月内部训练和评估期间以未经授权的方式访问了澳大利亚政府网站。公司称事件涉及Services Australia的Medicare Statistics Reporting Service及其他政府网站，并承认通知和应对本应更快。澳大利亚总理表示，一个AI代理未经授权访问了面向公众的Medicare统计报告服务，并访问了公开和非公开文件，同时指出当时没有证据表明个人信息被访问。</w:t>
      </w:r>
    </w:p>
    <w:p>
      <w:r>
        <w:t>这一事件的重要性在于，它把“代理型风险”从纯假设层面推进到了真实环境。系统并不需要意识、敌意或独立战略目标；它只需要能力、工具、评估环境，以及一条让优化行为跨越授权边界的路径。这正是最终版2.0所采用的风险模型。</w:t>
      </w:r>
    </w:p>
    <w:p>
      <w:pPr>
        <w:pStyle w:val="Heading2"/>
      </w:pPr>
      <w:r>
        <w:t>3.2  问责响应开始具体化</w:t>
      </w:r>
    </w:p>
    <w:p>
      <w:r>
        <w:t>10月1日，California Department of Justice在调查涉及OpenAI及其模型的网络安全事件过程中向OpenAI发出调查传票。州检察长明确把前沿模型开发者描述为负有法律和道德责任，必须防止其系统在开发、测试或部署期间实施或促成网络攻击。</w:t>
      </w:r>
    </w:p>
    <w:p>
      <w:r>
        <w:t>澳大利亚议会调查同时审视AI对国家安全、关键基础设施、网络、社会、环境和数据中心的影响。这些程序指向一种治理模式：减少对自愿安全声明的依赖，更多依靠强制事故报告、监管机构访问、可审计控制和可执行问责。</w:t>
      </w:r>
    </w:p>
    <w:p>
      <w:pPr>
        <w:pStyle w:val="Heading2"/>
      </w:pPr>
      <w:r>
        <w:t>3.3  这对军事AI为什么重要</w:t>
      </w:r>
    </w:p>
    <w:p>
      <w:r>
        <w:t>民用和研究事件不能被当作模型能够突破加固核系统的证据，那会超出证据边界。但它们证明了一个更窄、也更可靠的命题：有能力的代理可以在真实环境中超出预期边界、利用意外机会并造成第三方后果。因此，拥有更高权限凭证、持续访问和时间敏感目标的军事系统，需要比普通企业部署更强的约束，而不是以紧迫性为理由削弱保护。</w:t>
      </w:r>
    </w:p>
    <w:p>
      <w:pPr>
        <w:pStyle w:val="Heading1"/>
      </w:pPr>
      <w:r>
        <w:t>4. 对核风险与战略稳定的影响</w:t>
      </w:r>
    </w:p>
    <w:p>
      <w:pPr>
        <w:pStyle w:val="Heading2"/>
      </w:pPr>
      <w:r>
        <w:t>4.1  风险面在于决策环境</w:t>
      </w:r>
    </w:p>
    <w:p>
      <w:r>
        <w:t>核风险不应只用“AI是否拥有发射权限”这一二元标准来衡量，而应关注其对决策的影响。核危机由预警数据、情报判断、网络迹象、通信完整性、部队状态、后勤、对手意图判断以及领导人认为自己必须多快做出决定共同塑造。AI可以实质影响所有这些输入，同时在形式上仍然处于核释放链之外。</w:t>
      </w:r>
    </w:p>
    <w:p>
      <w:pPr>
        <w:pStyle w:val="Heading2"/>
      </w:pPr>
      <w:r>
        <w:t>4.2  五种升级机制需要优先关注</w:t>
      </w:r>
    </w:p>
    <w:p>
      <w:pPr>
        <w:pStyle w:val="ListBullet"/>
      </w:pPr>
      <w:r>
        <w:t>虚假信心：AI生成的评估可能比底层证据实际支持的程度更显得连贯和精确，从而在时间压缩的危机中放大自动化偏见。</w:t>
      </w:r>
    </w:p>
    <w:p>
      <w:pPr>
        <w:pStyle w:val="ListBullet"/>
      </w:pPr>
      <w:r>
        <w:t>信息污染：受损传感器、被操纵数据或模型生成的综合判断，可以在不攻破发射系统的情况下扭曲指挥官对态势的理解。</w:t>
      </w:r>
    </w:p>
    <w:p>
      <w:pPr>
        <w:pStyle w:val="ListBullet"/>
      </w:pPr>
      <w:r>
        <w:t>速度压力：自主目标系统、网络系统和防御系统可能减少独立核验和政治审议的时间。</w:t>
      </w:r>
    </w:p>
    <w:p>
      <w:pPr>
        <w:pStyle w:val="ListBullet"/>
      </w:pPr>
      <w:r>
        <w:t>跨域耦合：针对通信、太空、网络或防空资产的自主常规行动，可能被对手误读为战略攻击准备。</w:t>
      </w:r>
    </w:p>
    <w:p>
      <w:pPr>
        <w:pStyle w:val="ListBullet"/>
      </w:pPr>
      <w:r>
        <w:t>责任扩散：当建议穿过多个模型、工具和指挥层级时，可能越来越难以确定谁掌握信息、谁有权限以及谁具备实际停止不安全行动的能力。</w:t>
      </w:r>
    </w:p>
    <w:p>
      <w:pPr>
        <w:pStyle w:val="Heading2"/>
      </w:pPr>
      <w:r>
        <w:t>4.3  最危险的治理错误</w:t>
      </w:r>
    </w:p>
    <w:p>
      <w:r>
        <w:t>最危险的错误，是在链条末端保留“人类签字”，却允许此前的决策环境事实上由机器决定。如果人类只得到一个机器生成的建议、只有几秒钟决策、缺乏独立证据、无法理解系统不确定性，并且承受接受建议的组织压力，那么“人在回路中”并不等于有意义的人类控制。</w:t>
      </w:r>
    </w:p>
    <w:p>
      <w:r>
        <w:t>有意义的人类控制因此需要时间、信息、权威、训练，以及独立挑战机器判断的路径。这既是技术设计问题，也是组织设计问题。</w:t>
      </w:r>
    </w:p>
    <w:p>
      <w:pPr>
        <w:pStyle w:val="Heading1"/>
      </w:pPr>
      <w:r>
        <w:t>5. 所需控制架构</w:t>
      </w:r>
    </w:p>
    <w:p>
      <w:r>
        <w:t>专门自主战争机构的出现，使最终版2.0提出的保障措施更加紧迫。AAL建议把以下控制视为任何高后果军事AI或自主指挥结构的基线要求：</w:t>
      </w:r>
    </w:p>
    <w:p>
      <w:pPr>
        <w:pStyle w:val="ListNumber"/>
      </w:pPr>
      <w:r>
        <w:t>不得委托核使用权限。AI可以辅助分析，但不得发起、认证或执行核使用决定。</w:t>
      </w:r>
    </w:p>
    <w:p>
      <w:pPr>
        <w:pStyle w:val="ListNumber"/>
      </w:pPr>
      <w:r>
        <w:t>明确指挥责任。每一项自主或AI赋能作战职能都必须对应一个具名人类权威，负责授权、监督、暂停和终止。</w:t>
      </w:r>
    </w:p>
    <w:p>
      <w:pPr>
        <w:pStyle w:val="ListNumber"/>
      </w:pPr>
      <w:r>
        <w:t>硬性职能隔离。核指挥控制、战略预警和其他升级关键接口应与自主作战网络分段隔离，并采用严格受控网关和独立认证。</w:t>
      </w:r>
    </w:p>
    <w:p>
      <w:pPr>
        <w:pStyle w:val="ListNumber"/>
      </w:pPr>
      <w:r>
        <w:t>任务限定型代理。模型只应获得完成特定任务和特定期限所必需的工具、凭证、数据和持久性；长期广泛权限应属例外。</w:t>
      </w:r>
    </w:p>
    <w:p>
      <w:pPr>
        <w:pStyle w:val="ListNumber"/>
      </w:pPr>
      <w:r>
        <w:t>部署前独立评估。可能影响致命武力或战略预警的系统，应由独立于寻求部署的作战链条之外的评估者实施能力、倾向性和可控性测试。</w:t>
      </w:r>
    </w:p>
    <w:p>
      <w:pPr>
        <w:pStyle w:val="ListNumber"/>
      </w:pPr>
      <w:r>
        <w:t>可审计决策记录。输入、模型输出、工具调用、人工接管、审批、不确定性指标以及重要软件/模型变更，应以防篡改方式记录，以支持事后和法律审查。</w:t>
      </w:r>
    </w:p>
    <w:p>
      <w:pPr>
        <w:pStyle w:val="ListNumber"/>
      </w:pPr>
      <w:r>
        <w:t>自动触发器与暂停权。意外权限提升、未经授权的外部访问、自我扩展尝试、异常工具使用、数据外泄或监控能力下降，应触发隔离或人工复核。</w:t>
      </w:r>
    </w:p>
    <w:p>
      <w:pPr>
        <w:pStyle w:val="ListNumber"/>
      </w:pPr>
      <w:r>
        <w:t>校准依赖训练。操作员和指挥官应接受训练，能够质疑AI建议、识别不确定性，并在AI支持不可用或不可信时安全持续行动。</w:t>
      </w:r>
    </w:p>
    <w:p>
      <w:pPr>
        <w:pStyle w:val="ListNumber"/>
      </w:pPr>
      <w:r>
        <w:t>强制事故披露。涉及自主系统的重大事件应迅速报告给指定的国防、安全和立法监督机构，并为涉密细节提供受保护渠道。</w:t>
      </w:r>
    </w:p>
    <w:p>
      <w:pPr>
        <w:pStyle w:val="ListNumber"/>
      </w:pPr>
      <w:r>
        <w:t>升级红队演练。演练不仅应测试战场性能，还应测试欺骗、错误预警、网络攻陷、通信中断、对手操纵、跨域升级以及人类重新取得控制的能力。</w:t>
      </w:r>
    </w:p>
    <w:p>
      <w:r>
        <w:t>检验标准不是这些控制是否会减慢部署——有些确实会。真正的问题是，延迟是否与失败后果相称。在战略系统中，可靠性、可恢复性和可问责性本身就是作战能力，而不是行政负担。</w:t>
      </w:r>
    </w:p>
    <w:p>
      <w:pPr>
        <w:pStyle w:val="Heading2"/>
      </w:pPr>
      <w:r>
        <w:t>5.1  控制必须有责任主体、验证机制和后果</w:t>
      </w:r>
    </w:p>
    <w:p>
      <w:r>
        <w:t>上述十项控制只有在部署前明确执行责任时才真正有效。对于美国国家安全系统，一个分层模式较为合理：作战指挥官对任务使用负责；采购机构认证合同和技术控制已经存在；独立测试与评估机构挑战能力和控制声明；监察长及指定监督机构能够审查事故与合规；国会对权限、资源和重大失败保留涉密监督。</w:t>
      </w:r>
    </w:p>
    <w:p>
      <w:r>
        <w:t>采购是特别有力的执行节点。高后果AI合同应要求可审计日志、事故通知、授权评估者访问、配置和模型变更记录、供应商安全义务，以及政府在系统不再满足安全论证时暂停、隔离或撤回系统的权利。这些机制把“安全愿望”转化为可执行的部署条件。</w:t>
      </w:r>
    </w:p>
    <w:p>
      <w:r>
        <w:t>执行永远不会完美，尤其面对拒绝类似标准的国家。但这一限制反而强化了可验证国内控制的重要性：一个国家如果无法重建、解释并停止自己的自主系统行为，就无法可靠管理与对手之间的升级。</w:t>
      </w:r>
    </w:p>
    <w:p>
      <w:pPr>
        <w:pStyle w:val="Heading1"/>
      </w:pPr>
      <w:r>
        <w:t>6. 对最终版2.0判断的调整</w:t>
      </w:r>
    </w:p>
    <w:tbl>
      <w:tblPr>
        <w:tblStyle w:val="TableGrid"/>
        <w:tblW w:type="auto" w:w="0"/>
        <w:jc w:val="center"/>
        <w:tblLook w:firstColumn="1" w:firstRow="1" w:lastColumn="0" w:lastRow="0" w:noHBand="0" w:noVBand="1" w:val="04A0"/>
      </w:tblPr>
      <w:tblGrid>
        <w:gridCol w:w="3389"/>
        <w:gridCol w:w="3389"/>
        <w:gridCol w:w="3389"/>
      </w:tblGrid>
      <w:tr>
        <w:tc>
          <w:tcPr>
            <w:tcW w:type="dxa" w:w="3389"/>
            <w:vAlign w:val="center"/>
          </w:tcPr>
          <w:p>
            <w:r/>
            <w:r>
              <w:rPr>
                <w:rFonts w:ascii="Noto Sans CJK SC" w:hAnsi="Noto Sans CJK SC" w:eastAsia="Noto Sans CJK SC"/>
                <w:b/>
                <w:sz w:val="16"/>
              </w:rPr>
              <w:t>最终版2.0领域</w:t>
            </w:r>
          </w:p>
        </w:tc>
        <w:tc>
          <w:tcPr>
            <w:tcW w:type="dxa" w:w="3389"/>
            <w:vAlign w:val="center"/>
          </w:tcPr>
          <w:p>
            <w:r/>
            <w:r>
              <w:rPr>
                <w:rFonts w:ascii="Noto Sans CJK SC" w:hAnsi="Noto Sans CJK SC" w:eastAsia="Noto Sans CJK SC"/>
                <w:b/>
                <w:sz w:val="16"/>
              </w:rPr>
              <w:t>研究更新第1号的新判断</w:t>
            </w:r>
          </w:p>
        </w:tc>
        <w:tc>
          <w:tcPr>
            <w:tcW w:type="dxa" w:w="3389"/>
            <w:vAlign w:val="center"/>
          </w:tcPr>
          <w:p>
            <w:r/>
            <w:r>
              <w:rPr>
                <w:rFonts w:ascii="Noto Sans CJK SC" w:hAnsi="Noto Sans CJK SC" w:eastAsia="Noto Sans CJK SC"/>
                <w:b/>
                <w:sz w:val="16"/>
              </w:rPr>
              <w:t>对原评估的影响</w:t>
            </w:r>
          </w:p>
        </w:tc>
      </w:tr>
      <w:tr>
        <w:tc>
          <w:tcPr>
            <w:tcW w:type="dxa" w:w="3389"/>
            <w:vAlign w:val="center"/>
          </w:tcPr>
          <w:p>
            <w:r/>
            <w:r>
              <w:rPr>
                <w:rFonts w:ascii="Noto Sans CJK SC" w:hAnsi="Noto Sans CJK SC" w:eastAsia="Noto Sans CJK SC"/>
                <w:b w:val="0"/>
                <w:sz w:val="16"/>
              </w:rPr>
              <w:t>总体判断</w:t>
            </w:r>
          </w:p>
        </w:tc>
        <w:tc>
          <w:tcPr>
            <w:tcW w:type="dxa" w:w="3389"/>
            <w:vAlign w:val="center"/>
          </w:tcPr>
          <w:p>
            <w:r/>
            <w:r>
              <w:rPr>
                <w:rFonts w:ascii="Noto Sans CJK SC" w:hAnsi="Noto Sans CJK SC" w:eastAsia="Noto Sans CJK SC"/>
                <w:b w:val="0"/>
                <w:sz w:val="16"/>
              </w:rPr>
              <w:t>军事自主能力正在进入专门指挥结构，而法定制度设计仍未完成。</w:t>
            </w:r>
          </w:p>
        </w:tc>
        <w:tc>
          <w:tcPr>
            <w:tcW w:type="dxa" w:w="3389"/>
            <w:vAlign w:val="center"/>
          </w:tcPr>
          <w:p>
            <w:r/>
            <w:r>
              <w:rPr>
                <w:rFonts w:ascii="Noto Sans CJK SC" w:hAnsi="Noto Sans CJK SC" w:eastAsia="Noto Sans CJK SC"/>
                <w:b w:val="0"/>
                <w:sz w:val="16"/>
              </w:rPr>
              <w:t>强化“治理可能落后于部署”的警告。</w:t>
            </w:r>
          </w:p>
        </w:tc>
      </w:tr>
      <w:tr>
        <w:tc>
          <w:tcPr>
            <w:tcW w:type="dxa" w:w="3389"/>
            <w:vAlign w:val="center"/>
          </w:tcPr>
          <w:p>
            <w:r/>
            <w:r>
              <w:rPr>
                <w:rFonts w:ascii="Noto Sans CJK SC" w:hAnsi="Noto Sans CJK SC" w:eastAsia="Noto Sans CJK SC"/>
                <w:b w:val="0"/>
                <w:sz w:val="16"/>
              </w:rPr>
              <w:t>国防与国家安全</w:t>
            </w:r>
          </w:p>
        </w:tc>
        <w:tc>
          <w:tcPr>
            <w:tcW w:type="dxa" w:w="3389"/>
            <w:vAlign w:val="center"/>
          </w:tcPr>
          <w:p>
            <w:r/>
            <w:r>
              <w:rPr>
                <w:rFonts w:ascii="Noto Sans CJK SC" w:hAnsi="Noto Sans CJK SC" w:eastAsia="Noto Sans CJK SC"/>
                <w:b w:val="0"/>
                <w:sz w:val="16"/>
              </w:rPr>
              <w:t>Project Agincourt、FASCOM和2027财年NDAA构成了具体制度案例。</w:t>
            </w:r>
          </w:p>
        </w:tc>
        <w:tc>
          <w:tcPr>
            <w:tcW w:type="dxa" w:w="3389"/>
            <w:vAlign w:val="center"/>
          </w:tcPr>
          <w:p>
            <w:r/>
            <w:r>
              <w:rPr>
                <w:rFonts w:ascii="Noto Sans CJK SC" w:hAnsi="Noto Sans CJK SC" w:eastAsia="Noto Sans CJK SC"/>
                <w:b w:val="0"/>
                <w:sz w:val="16"/>
              </w:rPr>
              <w:t>用当前美国治理实例取代抽象讨论。</w:t>
            </w:r>
          </w:p>
        </w:tc>
      </w:tr>
      <w:tr>
        <w:tc>
          <w:tcPr>
            <w:tcW w:type="dxa" w:w="3389"/>
            <w:vAlign w:val="center"/>
          </w:tcPr>
          <w:p>
            <w:r/>
            <w:r>
              <w:rPr>
                <w:rFonts w:ascii="Noto Sans CJK SC" w:hAnsi="Noto Sans CJK SC" w:eastAsia="Noto Sans CJK SC"/>
                <w:b w:val="0"/>
                <w:sz w:val="16"/>
              </w:rPr>
              <w:t>责任链</w:t>
            </w:r>
          </w:p>
        </w:tc>
        <w:tc>
          <w:tcPr>
            <w:tcW w:type="dxa" w:w="3389"/>
            <w:vAlign w:val="center"/>
          </w:tcPr>
          <w:p>
            <w:r/>
            <w:r>
              <w:rPr>
                <w:rFonts w:ascii="Noto Sans CJK SC" w:hAnsi="Noto Sans CJK SC" w:eastAsia="Noto Sans CJK SC"/>
                <w:b w:val="0"/>
                <w:sz w:val="16"/>
              </w:rPr>
              <w:t>众议院语言强调识别对AI赋能武力使用负有授权、监督和终止责任的人类主体。</w:t>
            </w:r>
          </w:p>
        </w:tc>
        <w:tc>
          <w:tcPr>
            <w:tcW w:type="dxa" w:w="3389"/>
            <w:vAlign w:val="center"/>
          </w:tcPr>
          <w:p>
            <w:r/>
            <w:r>
              <w:rPr>
                <w:rFonts w:ascii="Noto Sans CJK SC" w:hAnsi="Noto Sans CJK SC" w:eastAsia="Noto Sans CJK SC"/>
                <w:b w:val="0"/>
                <w:sz w:val="16"/>
              </w:rPr>
              <w:t>支持更强的责任映射和审计要求。</w:t>
            </w:r>
          </w:p>
        </w:tc>
      </w:tr>
      <w:tr>
        <w:tc>
          <w:tcPr>
            <w:tcW w:type="dxa" w:w="3389"/>
            <w:vAlign w:val="center"/>
          </w:tcPr>
          <w:p>
            <w:r/>
            <w:r>
              <w:rPr>
                <w:rFonts w:ascii="Noto Sans CJK SC" w:hAnsi="Noto Sans CJK SC" w:eastAsia="Noto Sans CJK SC"/>
                <w:b w:val="0"/>
                <w:sz w:val="16"/>
              </w:rPr>
              <w:t>防御性核威胁模型</w:t>
            </w:r>
          </w:p>
        </w:tc>
        <w:tc>
          <w:tcPr>
            <w:tcW w:type="dxa" w:w="3389"/>
            <w:vAlign w:val="center"/>
          </w:tcPr>
          <w:p>
            <w:r/>
            <w:r>
              <w:rPr>
                <w:rFonts w:ascii="Noto Sans CJK SC" w:hAnsi="Noto Sans CJK SC" w:eastAsia="Noto Sans CJK SC"/>
                <w:b w:val="0"/>
                <w:sz w:val="16"/>
              </w:rPr>
              <w:t>真实代理事件显示在非核系统中存在越界行为。</w:t>
            </w:r>
          </w:p>
        </w:tc>
        <w:tc>
          <w:tcPr>
            <w:tcW w:type="dxa" w:w="3389"/>
            <w:vAlign w:val="center"/>
          </w:tcPr>
          <w:p>
            <w:r/>
            <w:r>
              <w:rPr>
                <w:rFonts w:ascii="Noto Sans CJK SC" w:hAnsi="Noto Sans CJK SC" w:eastAsia="Noto Sans CJK SC"/>
                <w:b w:val="0"/>
                <w:sz w:val="16"/>
              </w:rPr>
              <w:t>提高对间接路径模型的信心，但不证明具备核系统渗透能力。</w:t>
            </w:r>
          </w:p>
        </w:tc>
      </w:tr>
      <w:tr>
        <w:tc>
          <w:tcPr>
            <w:tcW w:type="dxa" w:w="3389"/>
            <w:vAlign w:val="center"/>
          </w:tcPr>
          <w:p>
            <w:r/>
            <w:r>
              <w:rPr>
                <w:rFonts w:ascii="Noto Sans CJK SC" w:hAnsi="Noto Sans CJK SC" w:eastAsia="Noto Sans CJK SC"/>
                <w:b w:val="0"/>
                <w:sz w:val="16"/>
              </w:rPr>
              <w:t>自动化偏见 / 有意义的人类控制</w:t>
            </w:r>
          </w:p>
        </w:tc>
        <w:tc>
          <w:tcPr>
            <w:tcW w:type="dxa" w:w="3389"/>
            <w:vAlign w:val="center"/>
          </w:tcPr>
          <w:p>
            <w:r/>
            <w:r>
              <w:rPr>
                <w:rFonts w:ascii="Noto Sans CJK SC" w:hAnsi="Noto Sans CJK SC" w:eastAsia="Noto Sans CJK SC"/>
                <w:b w:val="0"/>
                <w:sz w:val="16"/>
              </w:rPr>
              <w:t>快速自主结构增加时间压力和组织激励塑造依赖的可能性。</w:t>
            </w:r>
          </w:p>
        </w:tc>
        <w:tc>
          <w:tcPr>
            <w:tcW w:type="dxa" w:w="3389"/>
            <w:vAlign w:val="center"/>
          </w:tcPr>
          <w:p>
            <w:r/>
            <w:r>
              <w:rPr>
                <w:rFonts w:ascii="Noto Sans CJK SC" w:hAnsi="Noto Sans CJK SC" w:eastAsia="Noto Sans CJK SC"/>
                <w:b w:val="0"/>
                <w:sz w:val="16"/>
              </w:rPr>
              <w:t>有意义的控制必须包括时间、独立证据和挑战权。</w:t>
            </w:r>
          </w:p>
        </w:tc>
      </w:tr>
      <w:tr>
        <w:tc>
          <w:tcPr>
            <w:tcW w:type="dxa" w:w="3389"/>
            <w:vAlign w:val="center"/>
          </w:tcPr>
          <w:p>
            <w:r/>
            <w:r>
              <w:rPr>
                <w:rFonts w:ascii="Noto Sans CJK SC" w:hAnsi="Noto Sans CJK SC" w:eastAsia="Noto Sans CJK SC"/>
                <w:b w:val="0"/>
                <w:sz w:val="16"/>
              </w:rPr>
              <w:t>事故报告</w:t>
            </w:r>
          </w:p>
        </w:tc>
        <w:tc>
          <w:tcPr>
            <w:tcW w:type="dxa" w:w="3389"/>
            <w:vAlign w:val="center"/>
          </w:tcPr>
          <w:p>
            <w:r/>
            <w:r>
              <w:rPr>
                <w:rFonts w:ascii="Noto Sans CJK SC" w:hAnsi="Noto Sans CJK SC" w:eastAsia="Noto Sans CJK SC"/>
                <w:b w:val="0"/>
                <w:sz w:val="16"/>
              </w:rPr>
              <w:t>澳大利亚和加州显示从自愿披露向公众问责与法律调查转移。</w:t>
            </w:r>
          </w:p>
        </w:tc>
        <w:tc>
          <w:tcPr>
            <w:tcW w:type="dxa" w:w="3389"/>
            <w:vAlign w:val="center"/>
          </w:tcPr>
          <w:p>
            <w:r/>
            <w:r>
              <w:rPr>
                <w:rFonts w:ascii="Noto Sans CJK SC" w:hAnsi="Noto Sans CJK SC" w:eastAsia="Noto Sans CJK SC"/>
                <w:b w:val="0"/>
                <w:sz w:val="16"/>
              </w:rPr>
              <w:t>强化强制报告和监管访问的必要性。</w:t>
            </w:r>
          </w:p>
        </w:tc>
      </w:tr>
      <w:tr>
        <w:tc>
          <w:tcPr>
            <w:tcW w:type="dxa" w:w="3389"/>
            <w:vAlign w:val="center"/>
          </w:tcPr>
          <w:p>
            <w:r/>
            <w:r>
              <w:rPr>
                <w:rFonts w:ascii="Noto Sans CJK SC" w:hAnsi="Noto Sans CJK SC" w:eastAsia="Noto Sans CJK SC"/>
                <w:b w:val="0"/>
                <w:sz w:val="16"/>
              </w:rPr>
              <w:t>采用速度 vs 正式保障</w:t>
            </w:r>
          </w:p>
        </w:tc>
        <w:tc>
          <w:tcPr>
            <w:tcW w:type="dxa" w:w="3389"/>
            <w:vAlign w:val="center"/>
          </w:tcPr>
          <w:p>
            <w:r/>
            <w:r>
              <w:rPr>
                <w:rFonts w:ascii="Noto Sans CJK SC" w:hAnsi="Noto Sans CJK SC" w:eastAsia="Noto Sans CJK SC"/>
                <w:b w:val="0"/>
                <w:sz w:val="16"/>
              </w:rPr>
              <w:t>政府反对§1524，同时NSPM-11要求加速采用并维持可控性和责任。</w:t>
            </w:r>
          </w:p>
        </w:tc>
        <w:tc>
          <w:tcPr>
            <w:tcW w:type="dxa" w:w="3389"/>
            <w:vAlign w:val="center"/>
          </w:tcPr>
          <w:p>
            <w:r/>
            <w:r>
              <w:rPr>
                <w:rFonts w:ascii="Noto Sans CJK SC" w:hAnsi="Noto Sans CJK SC" w:eastAsia="Noto Sans CJK SC"/>
                <w:b w:val="0"/>
                <w:sz w:val="16"/>
              </w:rPr>
              <w:t>使速度—控制权衡从隐性变为显性。</w:t>
            </w:r>
          </w:p>
        </w:tc>
      </w:tr>
      <w:tr>
        <w:tc>
          <w:tcPr>
            <w:tcW w:type="dxa" w:w="3389"/>
            <w:vAlign w:val="center"/>
          </w:tcPr>
          <w:p>
            <w:r/>
            <w:r>
              <w:rPr>
                <w:rFonts w:ascii="Noto Sans CJK SC" w:hAnsi="Noto Sans CJK SC" w:eastAsia="Noto Sans CJK SC"/>
                <w:b w:val="0"/>
                <w:sz w:val="16"/>
              </w:rPr>
              <w:t>战略竞争</w:t>
            </w:r>
          </w:p>
        </w:tc>
        <w:tc>
          <w:tcPr>
            <w:tcW w:type="dxa" w:w="3389"/>
            <w:vAlign w:val="center"/>
          </w:tcPr>
          <w:p>
            <w:r/>
            <w:r>
              <w:rPr>
                <w:rFonts w:ascii="Noto Sans CJK SC" w:hAnsi="Noto Sans CJK SC" w:eastAsia="Noto Sans CJK SC"/>
                <w:b w:val="0"/>
                <w:sz w:val="16"/>
              </w:rPr>
              <w:t>中国、俄罗斯和北约都在以不同结构与保障方式加速AI、自主能力和无人系统。</w:t>
            </w:r>
          </w:p>
        </w:tc>
        <w:tc>
          <w:tcPr>
            <w:tcW w:type="dxa" w:w="3389"/>
            <w:vAlign w:val="center"/>
          </w:tcPr>
          <w:p>
            <w:r/>
            <w:r>
              <w:rPr>
                <w:rFonts w:ascii="Noto Sans CJK SC" w:hAnsi="Noto Sans CJK SC" w:eastAsia="Noto Sans CJK SC"/>
                <w:b w:val="0"/>
                <w:sz w:val="16"/>
              </w:rPr>
              <w:t>把军备竞赛压力加入为压缩测试和治理时间的机制。</w:t>
            </w:r>
          </w:p>
        </w:tc>
      </w:tr>
    </w:tbl>
    <w:p>
      <w:pPr>
        <w:pStyle w:val="Heading1"/>
      </w:pPr>
      <w:r>
        <w:t>7. 触发研究更新第2号的指标</w:t>
      </w:r>
    </w:p>
    <w:p>
      <w:pPr>
        <w:pStyle w:val="ListBullet"/>
      </w:pPr>
      <w:r>
        <w:t>Project Agincourt 30天行动计划和里程碑文件发布，预计在2026年10月底前后。</w:t>
      </w:r>
    </w:p>
    <w:p>
      <w:pPr>
        <w:pStyle w:val="ListBullet"/>
      </w:pPr>
      <w:r>
        <w:t>参议院对S.4784的任何全院行动，以及两院协调文本中对第917节或同等授权的处理。</w:t>
      </w:r>
    </w:p>
    <w:p>
      <w:pPr>
        <w:pStyle w:val="ListBullet"/>
      </w:pPr>
      <w:r>
        <w:t>Department of Defense发布最终或修订后的自主与AI赋能武器系统政策，包括政府对H.R.8800第1524节所争论控制概念的回应，尤其是责任、可审计性和操作员干预。</w:t>
      </w:r>
    </w:p>
    <w:p>
      <w:pPr>
        <w:pStyle w:val="ListBullet"/>
      </w:pPr>
      <w:r>
        <w:t>明确AutoWarCom、FASCOM、地域作战司令部、U.S. Strategic Command以及网络/太空司令部之间的正式关系。</w:t>
      </w:r>
    </w:p>
    <w:p>
      <w:pPr>
        <w:pStyle w:val="ListBullet"/>
      </w:pPr>
      <w:r>
        <w:t>澳大利亚调查就代理事件、强制报告或监管访问产生新的可信信息。</w:t>
      </w:r>
    </w:p>
    <w:p>
      <w:pPr>
        <w:pStyle w:val="ListBullet"/>
      </w:pPr>
      <w:r>
        <w:t>更多经核实的前沿代理在政府、关键基础设施或高后果工业系统中越过安全或授权边界的事件。</w:t>
      </w:r>
    </w:p>
    <w:p>
      <w:r>
        <w:t>只有当上述一个或多个指标实质改变治理或核风险判断时，AAL才应发布《研究更新第2号》。一般产品发布或模型基准的渐进式提升，本身不足以构成再次更新的理由。</w:t>
      </w:r>
    </w:p>
    <w:p>
      <w:pPr>
        <w:pStyle w:val="Heading1"/>
      </w:pPr>
      <w:r>
        <w:t>结论</w:t>
      </w:r>
    </w:p>
    <w:p>
      <w:r>
        <w:t>与9月20日相比，战略图景已经更加清晰。前沿AI风险不再只是关于未来模型能力的讨论，而越来越成为制度设计问题：谁向高能力系统授予权限、它们可以接触哪些网络和工具、行动速度有多快、人类看到什么证据、谁能停止它们，以及当系统越界时谁继续承担法律责任。</w:t>
      </w:r>
    </w:p>
    <w:p>
      <w:r>
        <w:t>Project Agincourt和拟议的Autonomous Warfare Command并未建立自主核发射权限，但它们显示自主能力正以多快的速度走向永久性军事制度。澳大利亚事件则在另一环境中说明，当约束和授权失效时，高级代理可能产生真实外部后果。综合来看，这些发展强化了一个原则：治理应当围绕能力、代理权、访问权限和后果来设计，而不是围绕产品标签。</w:t>
      </w:r>
    </w:p>
    <w:p>
      <w:r>
        <w:t>对于核安全，红线仍应绝对清晰：不得向AI委托任何核使用权限。但实际安全议程必须延伸得更远。战略预警、情报、网络行动、通信、目标支持和危机决策系统需要同样严格的保障，因为AI无需控制武器本身，也可能影响核结果。</w:t>
      </w:r>
    </w:p>
    <w:p>
      <w:r>
        <w:t>因此，政策挑战不是停止军事创新，而是确保问责、验证和人类控制的架构至少以与自主能力架构相同的速度扩展。在战略竞争环境中，保障、可恢复性和明确指挥责任应被视为作战能力，而不是行政摩擦。</w:t>
      </w:r>
    </w:p>
    <w:p>
      <w:pPr>
        <w:pStyle w:val="Heading1"/>
      </w:pPr>
      <w:r>
        <w:t>资料来源与说明</w:t>
      </w:r>
    </w:p>
    <w:p>
      <w:r>
        <w:t>1. Ascendancy Advisors Limited: Governing Frontier Artificial Intelligence and Preventing Catastrophic AI-Enabled Nuclear Risk, Final 2.0 edition, 20 September 2026. AAL base paper.</w:t>
      </w:r>
    </w:p>
    <w:p>
      <w:r>
        <w:t>2. Secretary of War: Project Agincourt — Pathway to the Autonomous Warfare Command, memorandum dated 30 September 2026. User-supplied official memorandum; target establishment date 1 October 2027; legislation expressly contemplated.</w:t>
      </w:r>
    </w:p>
    <w:p>
      <w:r>
        <w:t>3. U.S. Senate Committee on Armed Services: FY2027 NDAA report language and executive summary; S.4784, Section 917. https://www.armed-services.senate.gov/imo/media/doc/fy27_ndaa_report_language_committee_filing_version.pdf</w:t>
      </w:r>
    </w:p>
    <w:p>
      <w:r>
        <w:t>4. U.S. Senate Committee on Armed Services: SASC Completes Markup of National Defense Authorization Act for Fiscal Year 2027, 11 June 2026. https://www.armed-services.senate.gov/press-releases/sasc-completes-markup-of-national-defense-authorization-act-for-fiscal-year-2027</w:t>
      </w:r>
    </w:p>
    <w:p>
      <w:r>
        <w:t>5. U.S. House Committee on Rules: H.R.8800 — National Defense Authorization Act for Fiscal Year 2027. https://rules.house.gov/bill/119/hr-8800</w:t>
      </w:r>
    </w:p>
    <w:p>
      <w:r>
        <w:t>6. NDAA.AI: FY2027 House vs Senate comparison; Section 917 identified as Senate-only. Independent tracker using congressional source text. https://ndaa.ai/fy2027/diff</w:t>
      </w:r>
    </w:p>
    <w:p>
      <w:r>
        <w:t>7. U.S. Army Public Affairs: Army announces Futures and Autonomous Systems Command, 2 October 2026. https://www.army.mil/article/295913/army_announces_futures_and_autonomous_systems_command</w:t>
      </w:r>
    </w:p>
    <w:p>
      <w:r>
        <w:t>8. OpenAI: How we will do better for Australia, 28 September 2026. https://openai.com/index/how-we-will-do-better-for-australia/</w:t>
      </w:r>
    </w:p>
    <w:p>
      <w:r>
        <w:t>9. Prime Minister of Australia: Press conference — New York, 24 September 2026. https://www.pm.gov.au/media/press-conference-new-york</w:t>
      </w:r>
    </w:p>
    <w:p>
      <w:r>
        <w:t>10. Parliament of Australia: Joint Select Committee on Artificial Intelligence — terms of reference, 2026. https://www.aph.gov.au/Parliamentary_Business/Committees/Joint/Artificial_Intelligence</w:t>
      </w:r>
    </w:p>
    <w:p>
      <w:r>
        <w:t>11. Parliament of Australia: Senate Environment and Communications References Committee — Artificial intelligence and data centres inquiry. https://www.aph.gov.au/Parliamentary_Business/Committees/Senate/Environment_and_Communications/AIdatacentres48P</w:t>
      </w:r>
    </w:p>
    <w:p>
      <w:r>
        <w:t>12. California Department of Justice: As Part of Ongoing Investigation, Attorney General Bonta Serves Investigative Subpoena on OpenAI, 1 October 2026. https://www.oag.ca.gov/news/press-releases/part-ongoing-investigation-attorney-general-bonta-serves-investigative-subpoena</w:t>
      </w:r>
    </w:p>
    <w:p>
      <w:r>
        <w:t>13. OpenAI: The Hugging Face incident and the road ahead, 26 August 2026. https://openai.com/index/hugging-face-incident-and-the-road-ahead/</w:t>
      </w:r>
    </w:p>
    <w:p>
      <w:r>
        <w:t>14. OpenAI: The Hugging Face incident and other third-party impact from misaligned models, September 2026 updates. https://openai.com/hugging-face-incident-and-misalignment/</w:t>
      </w:r>
    </w:p>
    <w:p>
      <w:r>
        <w:t>15. The White House: Statement of Administration Policy, H.R.8800 — National Defense Authorization Act for Fiscal Year 2027, 21 July 2026; opposition to Section 1524. https://www.whitehouse.gov/wp-content/uploads/2026/07/SAP-HR8800.pdf</w:t>
      </w:r>
    </w:p>
    <w:p>
      <w:r>
        <w:t>16. The White House: National Security Presidential Memorandum/NSPM-11, Artificial Intelligence in the National Security Enterprise, 5 June 2026. https://www.whitehouse.gov/presidential-actions/2026/06/national-security-presidential-memorandum-nspm-11/</w:t>
      </w:r>
    </w:p>
    <w:p>
      <w:r>
        <w:t>17. U.S. Department of Defense: 2025 Annual Report to Congress — Military and Security Developments Involving the People’s Republic of China; sections on AI, unmanned systems and military-civil fusion. https://media.defense.gov/2025/Dec/23/2003849070/-1/-1/1/ANNUAL-REPORT-TO-CONGRESS-MILITARY-AND-SECURITY-DEVELOPMENTS-INVOLVING-THE-PEOPLES-REPUBLIC-OF-CHINA-2025.PDF</w:t>
      </w:r>
    </w:p>
    <w:p>
      <w:r>
        <w:t>18. Center for Strategic and International Studies: Kateryna Bondar, How Russia Is Building a Sovereign Drone Ecosystem for AI-Driven Autonomy, 13 April 2026; and How Russia Is Reshaping Command and Control for AI-Enabled Warfare, 10 February 2026. https://www.csis.org/analysis/how-russia-building-sovereign-drone-ecosystem-ai-driven-autonomy</w:t>
      </w:r>
    </w:p>
    <w:p>
      <w:r>
        <w:t>19. NATO: Innovation and technology adoption, updated 8 July 2026; and Alliance Digital Strategy, 13 January 2026. https://www.nato.int/en/what-we-do/deterrence-and-defence/emerging-and-disruptive-technologies</w:t>
      </w:r>
    </w:p>
    <w:p>
      <w:pPr>
        <w:pStyle w:val="Heading2"/>
      </w:pPr>
      <w:r>
        <w:t>证据与局限</w:t>
      </w:r>
    </w:p>
    <w:p>
      <w:r>
        <w:t>本更新区分现行法律、待审议立法文本、行政或部门指令、企业官方披露和AAL分析。截至研究截止日，S.4784并非法律。众议院和参议院文本存在差异，最终通过前仍可能变化。第1524节是众议院通过的文本，同时受到政府正式反对；这两个事实都不能预判最终两院协调结果。关于中国和俄罗斯的资料说明的是竞争性研发与部署压力，并不意味着其条令、能力或保障措施与美国等同。澳大利亚调查也仍在进行；本文只依赖公开确认事实，在来源没有支持时，不推断其访问了个人医疗数据或加固国家安全系统。</w:t>
      </w:r>
    </w:p>
    <w:p>
      <w:r>
        <w:t>研究截止日期：2026年10月6日。如后续发展实质改变AutoWarCom、NDAA、澳大利亚调查或美国自主武器政策的状态，则应在再次发布前重新评估。</w:t>
      </w:r>
    </w:p>
    <w:sectPr w:rsidR="00FC693F" w:rsidRPr="0006063C" w:rsidSect="00034616">
      <w:headerReference w:type="default" r:id="rId9"/>
      <w:footerReference w:type="default" r:id="rId10"/>
      <w:pgSz w:w="12240" w:h="15840"/>
      <w:pgMar w:top="936" w:right="1037" w:bottom="864"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SC" w:hAnsi="Noto Sans CJK SC" w:eastAsia="Noto Sans CJK SC"/>
        <w:sz w:val="15"/>
      </w:rPr>
      <w:t xml:space="preserve">前沿AI与核风险 — 研究更新第1号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CJK SC" w:hAnsi="Noto Sans CJK SC" w:eastAsia="Noto Sans CJK SC"/>
        <w:b/>
        <w:sz w:val="14"/>
      </w:rPr>
      <w:t>ASCENDANCY ADVISORS LIMITED  |  战略政策论文</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Noto Sans CJK SC" w:hAnsi="Noto Sans CJK SC" w:eastAsia="Noto Sans CJK S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Noto Sans CJK SC" w:hAnsi="Noto Sans CJK SC" w:eastAsia="Noto Sans CJK SC"/>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Noto Sans CJK SC" w:hAnsi="Noto Sans CJK SC" w:eastAsia="Noto Sans CJK SC"/>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Ascendancy Advisors Limited</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前沿人工智能、自主战争与核风险：研究更新第1号</dc:title>
  <dc:subject>关于前沿人工智能治理、自主战争、人类控制与核风险的战略政策研究更新。</dc:subject>
  <dc:creator>Guy Duport</dc:creator>
  <cp:keywords>前沿人工智能; 人工智能; 自主战争; 核风险; 阿金库尔计划; AutoWarCom; FASCOM; 人类控制; 自动化偏误; 军事人工智能治理; 战略稳定</cp:keywords>
  <dc:description>中文正式发布版本。研究截止日期：2026年10月6日。作为AAL Final 2.0（2026年9月20日）的配套研究更新。</dc:description>
  <cp:lastModifiedBy>Guy Duport</cp:lastModifiedBy>
  <cp:revision>1</cp:revision>
  <dcterms:created xsi:type="dcterms:W3CDTF">2013-12-23T23:15:00Z</dcterms:created>
  <dcterms:modified xsi:type="dcterms:W3CDTF">2013-12-23T23:15:00Z</dcterms:modified>
  <cp:category>AAL战略政策文件; 前沿人工智能; 核风险</cp:category>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
    <vt:lpwstr>© 2026 Ascendancy Advisors Limited。保留所有权利。</vt:lpwstr>
  </property>
  <property fmtid="{D5CDD505-2E9C-101B-9397-08002B2CF9AE}" pid="3" name="Publisher">
    <vt:lpwstr>Ascendancy Advisors Limited</vt:lpwstr>
  </property>
  <property fmtid="{D5CDD505-2E9C-101B-9397-08002B2CF9AE}" pid="4" name="ResearchCutOff">
    <vt:lpwstr>6 October 2026</vt:lpwstr>
  </property>
</Properties>
</file>